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 w:before="60"/>
        <w:jc w:val="center"/>
      </w:pPr>
      <w:r>
        <w:rPr>
          <w:rFonts w:ascii="Georgia" w:cs="Georgia" w:eastAsia="Georgia" w:hAnsi="Georgia"/>
          <w:b/>
          <w:bCs/>
          <w:i w:val="false"/>
          <w:iCs w:val="false"/>
          <w:color w:val="014820"/>
          <w:sz w:val="34"/>
          <w:szCs w:val="34"/>
        </w:rPr>
        <w:t xml:space="preserve">PAGARÉ</w:t>
      </w:r>
    </w:p>
    <w:p>
      <w:pPr>
        <w:spacing w:after="26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5B615C"/>
          <w:sz w:val="20"/>
          <w:szCs w:val="20"/>
        </w:rPr>
        <w:t xml:space="preserve">Título de crédito · Artículos 170 y siguientes de la LGTOC</w:t>
      </w:r>
    </w:p>
    <w:tbl>
      <w:tblPr>
        <w:tblW w:type="dxa" w:w="9540"/>
        <w:tblBorders>
          <w:top w:val="single" w:color="DEDEDE" w:sz="4"/>
          <w:left w:val="single" w:color="014820" w:sz="26"/>
          <w:bottom w:val="single" w:color="DEDEDE" w:sz="4"/>
          <w:right w:val="single" w:color="DEDEDE" w:sz="4"/>
          <w:insideH w:val="none"/>
          <w:insideV w:val="none"/>
        </w:tblBorders>
      </w:tblPr>
      <w:tblGrid>
        <w:gridCol w:w="9540"/>
      </w:tblGrid>
      <w:tr>
        <w:tc>
          <w:tcPr>
            <w:tcW w:type="dxa" w:w="9540"/>
            <w:shd w:fill="EDF3ED" w:val="clear"/>
            <w:tcMar>
              <w:top w:type="dxa" w:w="170"/>
              <w:left w:type="dxa" w:w="220"/>
              <w:bottom w:type="dxa" w:w="120"/>
              <w:right w:type="dxa" w:w="220"/>
            </w:tcMar>
          </w:tcPr>
          <w:p>
            <w:pPr>
              <w:spacing w:after="90"/>
              <w:jc w:val="lef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014820"/>
                <w:sz w:val="19"/>
                <w:szCs w:val="19"/>
              </w:rPr>
              <w:t xml:space="preserve">NOTA DE ALCANCE — LÉEME PRIMERO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Formato general de cortesía de Strategium, deliberadamente conservador, vigente a julio de 2026. Cubre el caso típico; no cubre el tuyo en particular: montos altos, partes relacionadas, garantías y efectos fiscales específicos se diseñan a la medida. El pagaré es el título ejecutivo que acompaña al contrato de mutuo — no lo sustituye: el contrato documenta la causa; el pagaré permite el cobro por la vía ejecutiva.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La versión blindada para tu caso es una sesión: </w:t>
            </w: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014820"/>
                <w:sz w:val="19"/>
                <w:szCs w:val="19"/>
              </w:rPr>
              <w:t xml:space="preserve">WhatsApp +52 (81) 2946 0274 · contacto@strategium.mx</w:t>
            </w:r>
          </w:p>
        </w:tc>
      </w:tr>
    </w:tbl>
    <w:p>
      <w:pPr>
        <w:spacing w:after="14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"/>
          <w:szCs w:val="2"/>
        </w:rPr>
        <w:t xml:space="preserve"> </w:t>
      </w:r>
    </w:p>
    <w:p>
      <w:pPr>
        <w:spacing w:after="240"/>
        <w:jc w:val="right"/>
      </w:pPr>
      <w:r>
        <w:rPr>
          <w:rFonts w:ascii="Georgia" w:cs="Georgia" w:eastAsia="Georgia" w:hAnsi="Georgia"/>
          <w:b/>
          <w:bCs/>
          <w:i w:val="false"/>
          <w:iCs w:val="false"/>
          <w:color w:val="1A1D1B"/>
          <w:sz w:val="26"/>
          <w:szCs w:val="26"/>
        </w:rPr>
        <w:t xml:space="preserve">BUENO POR: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«$ MONTO»</w:t>
      </w:r>
    </w:p>
    <w:p>
      <w:p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En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«CIUDAD»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a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«DÍA»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 de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«MES»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 de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«AÑO»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por este PAGARÉ yo,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«NOMBRE DEL SUSCRIPTOR»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con domicilio en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«DOMICILIO COMPLETO»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debo y pagaré incondicionalmente a la orden de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«NOMBRE DEL BENEFICIARIO»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en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«LUGAR DE PAGO»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el día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«FECHA DE VENCIMIENTO»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la cantidad de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«$ MONTO»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 (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«MONTO EN LETRA»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 pesos 00/100 Moneda Nacional).</w:t>
      </w:r>
    </w:p>
    <w:p>
      <w:p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Este pagaré causará un interés ordinario del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«TASA»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% anual desde su suscripción y, a partir de su vencimiento sin pago, un interés moratorio del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«TASA MORATORIA»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% anual, hasta su total liquidación.</w:t>
      </w:r>
    </w:p>
    <w:p>
      <w:pPr>
        <w:spacing w:after="6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De no pagarse a su vencimiento, el tenedor podrá exigir su importe íntegro, más intereses y accesorios, en la vía ejecutiva mercantil.</w:t>
      </w:r>
    </w:p>
    <w:tbl>
      <w:tblPr>
        <w:tblW w:type="dxa" w:w="954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80"/>
        <w:gridCol w:w="4780"/>
        <w:gridCol w:w="2380"/>
      </w:tblGrid>
      <w:tr>
        <w:tc>
          <w:tcPr>
            <w:tcW w:type="dxa" w:w="2380"/>
          </w:tcPr>
          <w:p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22"/>
                <w:szCs w:val="22"/>
              </w:rPr>
              <w:t xml:space="preserve"> </w:t>
            </w:r>
          </w:p>
        </w:tc>
        <w:tc>
          <w:tcPr>
            <w:tcW w:type="dxa" w:w="4780"/>
            <w:tcMar>
              <w:top w:type="dxa" w:w="520"/>
            </w:tcMar>
          </w:tcPr>
          <w:p>
            <w:pPr>
              <w:pBdr>
                <w:bottom w:val="single" w:color="1A1D1B" w:sz="6"/>
              </w:pBdr>
              <w:spacing w:after="9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22"/>
                <w:szCs w:val="22"/>
              </w:rPr>
              <w:t xml:space="preserve"> </w:t>
            </w:r>
          </w:p>
          <w:p>
            <w:pPr>
              <w:spacing w:after="30"/>
              <w:jc w:val="center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5B615C"/>
                <w:sz w:val="19"/>
                <w:szCs w:val="19"/>
              </w:rPr>
              <w:t xml:space="preserve">EL SUSCRIPTOR</w:t>
            </w:r>
          </w:p>
          <w:p>
            <w:pPr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5B615C"/>
                <w:sz w:val="17"/>
                <w:szCs w:val="17"/>
              </w:rPr>
              <w:t xml:space="preserve">Nombre y firma</w:t>
            </w:r>
          </w:p>
        </w:tc>
        <w:tc>
          <w:tcPr>
            <w:tcW w:type="dxa" w:w="2380"/>
          </w:tcPr>
          <w:p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22"/>
                <w:szCs w:val="22"/>
              </w:rPr>
              <w:t xml:space="preserve"> </w:t>
            </w:r>
          </w:p>
        </w:tc>
      </w:tr>
    </w:tbl>
    <w:p>
      <w:pPr>
        <w:spacing w:after="6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"/>
          <w:szCs w:val="2"/>
        </w:rPr>
        <w:t xml:space="preserve"> </w:t>
      </w:r>
    </w:p>
    <w:p>
      <w:pPr>
        <w:spacing w:after="240" w:before="0" w:line="33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5B615C"/>
          <w:sz w:val="19"/>
          <w:szCs w:val="19"/>
        </w:rPr>
        <w:t xml:space="preserve">Domicilio: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«DOMICILIO»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5B615C"/>
          <w:sz w:val="19"/>
          <w:szCs w:val="19"/>
        </w:rPr>
        <w:t xml:space="preserve">      RFC: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«RFC»</w:t>
      </w:r>
    </w:p>
    <w:tbl>
      <w:tblPr>
        <w:tblW w:type="dxa" w:w="9540"/>
        <w:tblBorders>
          <w:top w:val="single" w:color="DEDEDE" w:sz="4"/>
          <w:left w:val="single" w:color="014820" w:sz="26"/>
          <w:bottom w:val="single" w:color="DEDEDE" w:sz="4"/>
          <w:right w:val="single" w:color="DEDEDE" w:sz="4"/>
          <w:insideH w:val="none"/>
          <w:insideV w:val="none"/>
        </w:tblBorders>
      </w:tblPr>
      <w:tblGrid>
        <w:gridCol w:w="9540"/>
      </w:tblGrid>
      <w:tr>
        <w:tc>
          <w:tcPr>
            <w:tcW w:type="dxa" w:w="9540"/>
            <w:shd w:fill="EDF3ED" w:val="clear"/>
            <w:tcMar>
              <w:top w:type="dxa" w:w="170"/>
              <w:left w:type="dxa" w:w="220"/>
              <w:bottom w:type="dxa" w:w="120"/>
              <w:right w:type="dxa" w:w="220"/>
            </w:tcMar>
          </w:tcPr>
          <w:p>
            <w:pPr>
              <w:spacing w:after="90"/>
              <w:jc w:val="lef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014820"/>
                <w:sz w:val="19"/>
                <w:szCs w:val="19"/>
              </w:rPr>
              <w:t xml:space="preserve">RECOMENDACIONES STRATEGIUM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1. Un pagaré por cada amortización del calendario, o uno global — pero que la suma cuadre con el contrato de mutuo.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2. Cantidades sin abreviaturas; número y letra deben coincidir.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3. Si hay aval: agrega “Por aval” con nombre, domicilio y firma al calce.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4. El pagaré prescribe a los 3 años contados desde el vencimiento — calendariza el cobro o su renovación.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500" w:right="1350" w:bottom="120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EDEDE" w:sz="4"/>
      </w:pBdr>
      <w:spacing w:before="80"/>
      <w:jc w:val="center"/>
    </w:pPr>
    <w:r>
      <w:rPr>
        <w:rFonts w:ascii="Georgia" w:cs="Georgia" w:eastAsia="Georgia" w:hAnsi="Georgia"/>
        <w:b w:val="false"/>
        <w:bCs w:val="false"/>
        <w:i w:val="false"/>
        <w:iCs w:val="false"/>
        <w:color w:val="5B615C"/>
        <w:sz w:val="15"/>
        <w:szCs w:val="15"/>
      </w:rPr>
      <w:t xml:space="preserve">Pagaré  ·  Formato de cortesía Strategium  ·  Página </w:t>
    </w:r>
    <w:r>
      <w:rPr>
        <w:rFonts w:ascii="Georgia" w:cs="Georgia" w:eastAsia="Georgia" w:hAnsi="Georgia"/>
        <w:color w:val="5B615C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Georgia" w:cs="Georgia" w:eastAsia="Georgia" w:hAnsi="Georgia"/>
        <w:b w:val="false"/>
        <w:bCs w:val="false"/>
        <w:i w:val="false"/>
        <w:iCs w:val="false"/>
        <w:color w:val="5B615C"/>
        <w:sz w:val="15"/>
        <w:szCs w:val="15"/>
      </w:rPr>
      <w:t xml:space="preserve"> de </w:t>
    </w:r>
    <w:r>
      <w:rPr>
        <w:rFonts w:ascii="Georgia" w:cs="Georgia" w:eastAsia="Georgia" w:hAnsi="Georgia"/>
        <w:color w:val="5B615C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540"/>
      <w:tblBorders>
        <w:top w:val="none"/>
        <w:left w:val="none"/>
        <w:bottom w:val="single" w:color="014820" w:sz="14"/>
        <w:right w:val="none"/>
        <w:insideH w:val="none"/>
        <w:insideV w:val="none"/>
      </w:tblBorders>
    </w:tblPr>
    <w:tblGrid>
      <w:gridCol w:w="5540"/>
      <w:gridCol w:w="4000"/>
    </w:tblGrid>
    <w:tr>
      <w:tc>
        <w:tcPr>
          <w:tcW w:type="dxa" w:w="5540"/>
          <w:tcMar>
            <w:bottom w:type="dxa" w:w="110"/>
          </w:tcMar>
        </w:tcPr>
        <w:p>
          <w:pPr>
            <w:spacing w:after="26"/>
          </w:pPr>
          <w:r>
            <w:rPr>
              <w:rFonts w:ascii="Georgia" w:cs="Georgia" w:eastAsia="Georgia" w:hAnsi="Georgia"/>
              <w:b/>
              <w:bCs/>
              <w:i w:val="false"/>
              <w:iCs w:val="false"/>
              <w:color w:val="014820"/>
              <w:sz w:val="27"/>
              <w:szCs w:val="27"/>
            </w:rPr>
            <w:t xml:space="preserve">S T R A T E G I U M</w:t>
          </w:r>
        </w:p>
        <w:p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Estrategia fiscal y patrimonial</w:t>
          </w:r>
        </w:p>
      </w:tc>
      <w:tc>
        <w:tcPr>
          <w:tcW w:type="dxa" w:w="4000"/>
          <w:tcMar>
            <w:bottom w:type="dxa" w:w="110"/>
          </w:tcMar>
        </w:tcPr>
        <w:p>
          <w:pPr>
            <w:spacing w:after="20"/>
            <w:jc w:val="right"/>
          </w:pPr>
          <w:r>
            <w:rPr>
              <w:rFonts w:ascii="Georgia" w:cs="Georgia" w:eastAsia="Georgia" w:hAnsi="Georgia"/>
              <w:b/>
              <w:bCs/>
              <w:i w:val="false"/>
              <w:iCs w:val="false"/>
              <w:color w:val="014820"/>
              <w:sz w:val="16"/>
              <w:szCs w:val="16"/>
            </w:rPr>
            <w:t xml:space="preserve">strategium.mx</w:t>
          </w:r>
        </w:p>
        <w:p>
          <w:pPr>
            <w:spacing w:after="20"/>
            <w:jc w:val="right"/>
          </w:pPr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WhatsApp +52 (81) 2946 0274</w:t>
          </w:r>
        </w:p>
        <w:p>
          <w:pPr>
            <w:jc w:val="right"/>
          </w:pPr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contacto@strategium.mx · Monterrey, N.L.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upperRoman"/>
      <w:lvlText w:val="%1."/>
      <w:lvlJc w:val="left"/>
      <w:pPr>
        <w:spacing w:after="180" w:line="330"/>
        <w:ind w:left="560" w:hanging="560"/>
      </w:pPr>
      <w:rPr>
        <w:rFonts w:ascii="Georgia" w:cs="Georgia" w:eastAsia="Georgia" w:hAnsi="Georgia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—"/>
      <w:lvlJc w:val="left"/>
      <w:pPr>
        <w:spacing w:after="150" w:line="330"/>
        <w:ind w:left="460" w:hanging="300"/>
      </w:pPr>
      <w:rPr>
        <w:rFonts w:ascii="Georgia" w:cs="Georgia" w:eastAsia="Georgia" w:hAnsi="Georgia"/>
        <w:sz w:val="22"/>
        <w:szCs w:val="22"/>
      </w:r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☐"/>
      <w:lvlJc w:val="left"/>
      <w:pPr>
        <w:spacing w:after="130" w:line="320"/>
        <w:ind w:left="460" w:hanging="340"/>
      </w:pPr>
      <w:rPr>
        <w:rFonts w:ascii="Georgia" w:cs="Georgia" w:eastAsia="Georgia" w:hAnsi="Georgia"/>
        <w:sz w:val="22"/>
        <w:szCs w:val="22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D1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2026-07-05T11:15:08.702Z</dcterms:created>
  <dcterms:modified xsi:type="dcterms:W3CDTF">2026-07-05T11:15:08.702Z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