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 w:before="6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34"/>
          <w:szCs w:val="34"/>
        </w:rPr>
        <w:t xml:space="preserve">CHECKLIST · EXPEDIENTE DE MATERIALIDAD POR PROVEEDOR</w:t>
      </w:r>
    </w:p>
    <w:p>
      <w:pPr>
        <w:spacing w:after="26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20"/>
          <w:szCs w:val="20"/>
        </w:rPr>
        <w:t xml:space="preserve">Lo que una revisión te va a pedir de cada proveedor relevante — reunido ANTES de que lo pidan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FFFFFF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DATOS DEL EXPEDIENTE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Proveedor: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«RAZÓN SOCIAL»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    RFC: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«RFC»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Responsable interno: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«NOMBRE»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    Última actualización: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«FECHA»</w:t>
            </w:r>
          </w:p>
        </w:tc>
      </w:tr>
    </w:tbl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A. ANTES DE CONTRATAR (ALTA DE PROVEEDOR)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Constancia de situación fiscal vigente y validación del RFC en el validador del SAT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Opinión de cumplimiento POSITIVA — y política de renovarla en cada pago relevante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Verificado NO listado en 69-B (presuntos / definitivos) ni en art. 69 (no localizados, incumplidos)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Evidencia de capacidad real: sitio web, domicilio verificable, personal / equipo, referencias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Acta constitutiva y poder del firmante (personas morales) · identificación del firmante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B. LA RELACIÓN (DOCUMENTACIÓN DEL ACUERDO)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Contrato firmado con alcance específico y entregables definidos — nunca genérico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Firmas ratificadas ante fedatario — fecha cierta (jurisprudencia 2a./J. 161/2019)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Cotizaciones o propuestas previas y correos de negociación archivados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C. CADA OPERACIÓN (EL CICLO DEL GASTO)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Orden de compra o solicitud interna que origina el gasto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CFDI verificado: vigente, datos correctos, complementos aplicables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Pago bancario trazable + CEP archivado — nunca efectivo, nunca a cuentas de terceros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Entregable / evidencia de ejecución con acuse: reporte, minuta, fotos, bitácora, correos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Registro contable congruente y complemento de pago cuando aplique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D. MANTENIMIENTO (RUTINA PERIÓDICA)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Barrido trimestral del padrón completo contra 69-B y artículo 69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Barrido de cancelaciones de CFDI sobre lo ya deducido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Expediente conservado mínimo 6 años (más si produce efectos futuros)</w:t>
      </w:r>
    </w:p>
    <w:p>
      <w:pPr>
        <w:spacing w:after="1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LA REGLA STRATEGIUM — PRUEBA DE LAS 48 HORAS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Si mañana llegara una revisión electrónica sobre este proveedor, ¿puedes armar el paquete completo en 48 horas? Si la respuesta es no, el expediente no existe: existe la intención. Diagnóstico completo en strategium.mx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00" w:right="1350" w:bottom="120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DEDE" w:sz="4"/>
      </w:pBdr>
      <w:spacing w:before="80"/>
      <w:jc w:val="center"/>
    </w:pP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Checklist — expediente de materialidad por proveedor  ·  Formato de cortesía Strategium  ·  Página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 de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40"/>
      <w:tblBorders>
        <w:top w:val="none"/>
        <w:left w:val="none"/>
        <w:bottom w:val="single" w:color="014820" w:sz="14"/>
        <w:right w:val="none"/>
        <w:insideH w:val="none"/>
        <w:insideV w:val="none"/>
      </w:tblBorders>
    </w:tblPr>
    <w:tblGrid>
      <w:gridCol w:w="5540"/>
      <w:gridCol w:w="4000"/>
    </w:tblGrid>
    <w:tr>
      <w:tc>
        <w:tcPr>
          <w:tcW w:type="dxa" w:w="5540"/>
          <w:tcMar>
            <w:bottom w:type="dxa" w:w="110"/>
          </w:tcMar>
        </w:tcPr>
        <w:p>
          <w:pPr>
            <w:spacing w:after="26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27"/>
              <w:szCs w:val="27"/>
            </w:rPr>
            <w:t xml:space="preserve">S T R A T E G I U M</w:t>
          </w:r>
        </w:p>
        <w:p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Estrategia fiscal y patrimonial</w:t>
          </w:r>
        </w:p>
      </w:tc>
      <w:tc>
        <w:tcPr>
          <w:tcW w:type="dxa" w:w="4000"/>
          <w:tcMar>
            <w:bottom w:type="dxa" w:w="110"/>
          </w:tcMar>
        </w:tcPr>
        <w:p>
          <w:pPr>
            <w:spacing w:after="20"/>
            <w:jc w:val="right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16"/>
              <w:szCs w:val="16"/>
            </w:rPr>
            <w:t xml:space="preserve">strategium.mx</w:t>
          </w:r>
        </w:p>
        <w:p>
          <w:pPr>
            <w:spacing w:after="20"/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WhatsApp +52 (81) 2946 0274</w:t>
          </w:r>
        </w:p>
        <w:p>
          <w:pPr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contacto@strategium.mx · Monterrey, N.L.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Roman"/>
      <w:lvlText w:val="%1."/>
      <w:lvlJc w:val="left"/>
      <w:pPr>
        <w:spacing w:after="180" w:line="330"/>
        <w:ind w:left="560" w:hanging="560"/>
      </w:pPr>
      <w:rPr>
        <w:rFonts w:ascii="Georgia" w:cs="Georgia" w:eastAsia="Georgia" w:hAnsi="Georgia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—"/>
      <w:lvlJc w:val="left"/>
      <w:pPr>
        <w:spacing w:after="150" w:line="330"/>
        <w:ind w:left="460" w:hanging="300"/>
      </w:pPr>
      <w:rPr>
        <w:rFonts w:ascii="Georgia" w:cs="Georgia" w:eastAsia="Georgia" w:hAnsi="Georgia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spacing w:after="130" w:line="320"/>
        <w:ind w:left="460" w:hanging="340"/>
      </w:pPr>
      <w:rPr>
        <w:rFonts w:ascii="Georgia" w:cs="Georgia" w:eastAsia="Georgia" w:hAnsi="Georgia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D1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2026-07-05T11:15:08.952Z</dcterms:created>
  <dcterms:modified xsi:type="dcterms:W3CDTF">2026-07-05T11:15:08.952Z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