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 w:before="6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34"/>
          <w:szCs w:val="34"/>
        </w:rPr>
        <w:t xml:space="preserve">CHECKLIST · COMPRAVENTA DE INMUEBLE</w:t>
      </w:r>
    </w:p>
    <w:p>
      <w:pPr>
        <w:spacing w:after="26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5B615C"/>
          <w:sz w:val="20"/>
          <w:szCs w:val="20"/>
        </w:rPr>
        <w:t xml:space="preserve">Los papeles que deciden impuestos hoy y deducciones dentro de 20 años</w:t>
      </w:r>
    </w:p>
    <w:p>
      <w:pPr>
        <w:spacing w:after="150" w:befor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24"/>
          <w:szCs w:val="24"/>
        </w:rPr>
        <w:t xml:space="preserve">A. SI VENDES — ANTES DE IR A LA NOTARÍA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Exención de casa habitación: comprobantes a TU nombre en el domicilio (luz, teléfono, estados de cuenta, INE o domicilio fiscal)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Verificado que NO usaste la exención en los últimos 3 años (el notario lo consulta)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Copropiedad conyugal identificada — cada cónyuge exenta su parte (duplica el techo)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Escritura de adquisición, facturas de mejoras y gastos notariales de compra localizados (deducciones del art. 121 sobre el excedente)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Simulación previa del ISR (calculadora en strategium.mx/herramientas) y del cedular estatal si aplica (CHIH / GTO / QROO / YUC)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Precio, forma de pago y calendario 100% bancarizados — el efectivo está prohibido arriba de ~8,025 UMA y es tóxico siempre</w:t>
      </w:r>
    </w:p>
    <w:p>
      <w:pPr>
        <w:spacing w:after="150" w:befor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24"/>
          <w:szCs w:val="24"/>
        </w:rPr>
        <w:t xml:space="preserve">B. SI COMPRAS — EL EXPEDIENTE QUE TE PROTEGE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Origen de recursos documentado ANTES de mover dinero: ventas previas, dividendos, ahorro, préstamo con contrato y fecha cierta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Préstamos / donativos familiares del año que excedan $600 mil, anotados para tu informativa en la declaración anual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Avalúo — y alerta si el precio escriturado queda muy por debajo (adquisición por diferencia = ingreso gravable tuyo)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Certificado de libertad de gravamen, predial y agua al corriente, y verificación registral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Definida la titularidad óptima ANTES de escriturar: persona física, cónyuge, copropiedad, vehículo — cambiarla después cuesta impuestos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CFDI de la operación emitido por el notario + factura de comisiones del broker</w:t>
      </w:r>
    </w:p>
    <w:p>
      <w:pPr>
        <w:spacing w:after="150" w:befor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24"/>
          <w:szCs w:val="24"/>
        </w:rPr>
        <w:t xml:space="preserve">C. PARA AMBOS — EN LA FIRMA Y DESPUÉS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El notario aplica exenciones EN la escritura (no se “arreglan después”) y entera ISR / ISAI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CEP de todas las transferencias archivados junto con la escritura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Testimonio inscrito en el Registro Público y archivo permanente creado (escritura + avalúo + CFDI + CEP + contratos)</w:t>
      </w:r>
    </w:p>
    <w:p>
      <w:pPr>
        <w:pStyle w:val="ListParagraph"/>
        <w:numPr>
          <w:ilvl w:val="0"/>
          <w:numId w:val="2"/>
        </w:numPr>
        <w:spacing w:after="17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Actualizados tu domicilio fiscal y comprobantes si el inmueble será tu casa habitación — la exención de tu SIGUIENTE venta empieza a construirse hoy</w:t>
      </w:r>
    </w:p>
    <w:p>
      <w:pPr>
        <w:spacing w:after="1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"/>
          <w:szCs w:val="2"/>
        </w:rPr>
        <w:t xml:space="preserve"> </w:t>
      </w:r>
    </w:p>
    <w:tbl>
      <w:tblPr>
        <w:tblW w:type="dxa" w:w="9540"/>
        <w:tblBorders>
          <w:top w:val="single" w:color="DEDEDE" w:sz="4"/>
          <w:left w:val="single" w:color="014820" w:sz="26"/>
          <w:bottom w:val="single" w:color="DEDEDE" w:sz="4"/>
          <w:right w:val="single" w:color="DEDEDE" w:sz="4"/>
          <w:insideH w:val="none"/>
          <w:insideV w:val="none"/>
        </w:tblBorders>
      </w:tblPr>
      <w:tblGrid>
        <w:gridCol w:w="9540"/>
      </w:tblGrid>
      <w:tr>
        <w:tc>
          <w:tcPr>
            <w:tcW w:type="dxa" w:w="9540"/>
            <w:shd w:fill="EDF3ED" w:val="clear"/>
            <w:tcMar>
              <w:top w:type="dxa" w:w="170"/>
              <w:left w:type="dxa" w:w="220"/>
              <w:bottom w:type="dxa" w:w="120"/>
              <w:right w:type="dxa" w:w="220"/>
            </w:tcMar>
          </w:tcPr>
          <w:p>
            <w:pPr>
              <w:spacing w:after="90"/>
              <w:jc w:val="lef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LA REGLA STRATEGIUM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En operaciones inmobiliarias, los meses previos valen millones y la notaría es tarde. La revisión pre-firma (titularidad, exenciones, origen de recursos, forma de pago) es una sesión: strategium.mx · WhatsApp +52 (81) 2946 0274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500" w:right="1350" w:bottom="120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EDEDE" w:sz="4"/>
      </w:pBdr>
      <w:spacing w:before="80"/>
      <w:jc w:val="center"/>
    </w:pP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Checklist — compraventa de inmueble (comprador y vendedor)  ·  Formato de cortesía Strategium  ·  Página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 de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540"/>
      <w:tblBorders>
        <w:top w:val="none"/>
        <w:left w:val="none"/>
        <w:bottom w:val="single" w:color="014820" w:sz="14"/>
        <w:right w:val="none"/>
        <w:insideH w:val="none"/>
        <w:insideV w:val="none"/>
      </w:tblBorders>
    </w:tblPr>
    <w:tblGrid>
      <w:gridCol w:w="5540"/>
      <w:gridCol w:w="4000"/>
    </w:tblGrid>
    <w:tr>
      <w:tc>
        <w:tcPr>
          <w:tcW w:type="dxa" w:w="5540"/>
          <w:tcMar>
            <w:bottom w:type="dxa" w:w="110"/>
          </w:tcMar>
        </w:tcPr>
        <w:p>
          <w:pPr>
            <w:spacing w:after="26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27"/>
              <w:szCs w:val="27"/>
            </w:rPr>
            <w:t xml:space="preserve">S T R A T E G I U M</w:t>
          </w:r>
        </w:p>
        <w:p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Estrategia fiscal y patrimonial</w:t>
          </w:r>
        </w:p>
      </w:tc>
      <w:tc>
        <w:tcPr>
          <w:tcW w:type="dxa" w:w="4000"/>
          <w:tcMar>
            <w:bottom w:type="dxa" w:w="110"/>
          </w:tcMar>
        </w:tcPr>
        <w:p>
          <w:pPr>
            <w:spacing w:after="20"/>
            <w:jc w:val="right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16"/>
              <w:szCs w:val="16"/>
            </w:rPr>
            <w:t xml:space="preserve">strategium.mx</w:t>
          </w:r>
        </w:p>
        <w:p>
          <w:pPr>
            <w:spacing w:after="20"/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WhatsApp +52 (81) 2946 0274</w:t>
          </w:r>
        </w:p>
        <w:p>
          <w:pPr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contacto@strategium.mx · Monterrey, N.L.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upperRoman"/>
      <w:lvlText w:val="%1."/>
      <w:lvlJc w:val="left"/>
      <w:pPr>
        <w:spacing w:after="180" w:line="330"/>
        <w:ind w:left="560" w:hanging="560"/>
      </w:pPr>
      <w:rPr>
        <w:rFonts w:ascii="Georgia" w:cs="Georgia" w:eastAsia="Georgia" w:hAnsi="Georgia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—"/>
      <w:lvlJc w:val="left"/>
      <w:pPr>
        <w:spacing w:after="150" w:line="330"/>
        <w:ind w:left="460" w:hanging="300"/>
      </w:pPr>
      <w:rPr>
        <w:rFonts w:ascii="Georgia" w:cs="Georgia" w:eastAsia="Georgia" w:hAnsi="Georgia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spacing w:after="130" w:line="320"/>
        <w:ind w:left="460" w:hanging="340"/>
      </w:pPr>
      <w:rPr>
        <w:rFonts w:ascii="Georgia" w:cs="Georgia" w:eastAsia="Georgia" w:hAnsi="Georgia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D1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2026-07-05T11:15:09.012Z</dcterms:created>
  <dcterms:modified xsi:type="dcterms:W3CDTF">2026-07-05T11:15:09.012Z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